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EFE" w:rsidRPr="00B93EFE" w:rsidRDefault="00B93EFE" w:rsidP="005A04F1">
      <w:pPr>
        <w:spacing w:line="240" w:lineRule="auto"/>
        <w:jc w:val="center"/>
        <w:rPr>
          <w:b/>
          <w:bCs/>
          <w:u w:val="single"/>
        </w:rPr>
      </w:pPr>
      <w:r w:rsidRPr="00B93EFE">
        <w:rPr>
          <w:b/>
          <w:bCs/>
          <w:u w:val="single"/>
        </w:rPr>
        <w:t xml:space="preserve">Al Órgano </w:t>
      </w:r>
      <w:r w:rsidR="00B6440D">
        <w:rPr>
          <w:b/>
          <w:bCs/>
          <w:u w:val="single"/>
        </w:rPr>
        <w:t>competente</w:t>
      </w:r>
      <w:bookmarkStart w:id="0" w:name="_GoBack"/>
      <w:bookmarkEnd w:id="0"/>
      <w:r w:rsidRPr="00B93EFE">
        <w:rPr>
          <w:b/>
          <w:bCs/>
          <w:u w:val="single"/>
        </w:rPr>
        <w:t xml:space="preserve"> del Ayuntamiento de Pozuelo de Alarcón</w:t>
      </w:r>
    </w:p>
    <w:p w:rsidR="00B93EFE" w:rsidRPr="00B93EFE" w:rsidRDefault="00B93EFE" w:rsidP="005A04F1">
      <w:pPr>
        <w:spacing w:line="240" w:lineRule="auto"/>
      </w:pPr>
      <w:r w:rsidRPr="00B93EFE">
        <w:rPr>
          <w:b/>
          <w:bCs/>
        </w:rPr>
        <w:t>D./Dª:</w:t>
      </w:r>
      <w:r w:rsidRPr="00B93EFE">
        <w:t xml:space="preserve"> </w:t>
      </w:r>
      <w:r w:rsidRPr="00B93EFE">
        <w:br/>
      </w:r>
      <w:r w:rsidRPr="00B93EFE">
        <w:rPr>
          <w:b/>
          <w:bCs/>
        </w:rPr>
        <w:t>DNI:</w:t>
      </w:r>
      <w:r w:rsidRPr="00B93EFE">
        <w:t xml:space="preserve"> </w:t>
      </w:r>
      <w:r w:rsidRPr="00B93EFE">
        <w:br/>
      </w:r>
      <w:r w:rsidRPr="00B93EFE">
        <w:rPr>
          <w:b/>
          <w:bCs/>
        </w:rPr>
        <w:t>Domicilio:</w:t>
      </w:r>
      <w:r w:rsidRPr="00B93EFE">
        <w:t xml:space="preserve"> </w:t>
      </w:r>
    </w:p>
    <w:p w:rsidR="00CC0FB6" w:rsidRPr="00B93EFE" w:rsidRDefault="00B93EFE" w:rsidP="005A04F1">
      <w:pPr>
        <w:spacing w:line="240" w:lineRule="auto"/>
        <w:jc w:val="both"/>
      </w:pPr>
      <w:r w:rsidRPr="00B93EFE">
        <w:rPr>
          <w:b/>
          <w:bCs/>
        </w:rPr>
        <w:t>Asunto:</w:t>
      </w:r>
      <w:r w:rsidRPr="00B93EFE">
        <w:t xml:space="preserve"> Recurso de reposición contra la liquidación de la tasa por recogida de residuos correspondiente al cuarto trimestre de 2024.</w:t>
      </w:r>
    </w:p>
    <w:p w:rsidR="00B93EFE" w:rsidRDefault="00B93EFE" w:rsidP="005A04F1">
      <w:pPr>
        <w:spacing w:line="240" w:lineRule="auto"/>
        <w:jc w:val="center"/>
        <w:rPr>
          <w:b/>
          <w:bCs/>
          <w:u w:val="single"/>
        </w:rPr>
      </w:pPr>
      <w:r w:rsidRPr="00B93EFE">
        <w:rPr>
          <w:b/>
          <w:bCs/>
          <w:u w:val="single"/>
        </w:rPr>
        <w:t>EXPONE:</w:t>
      </w:r>
    </w:p>
    <w:p w:rsidR="00CC0FB6" w:rsidRDefault="00B93EFE" w:rsidP="005A04F1">
      <w:pPr>
        <w:spacing w:line="240" w:lineRule="auto"/>
        <w:jc w:val="both"/>
        <w:rPr>
          <w:b/>
          <w:bCs/>
        </w:rPr>
      </w:pPr>
      <w:r w:rsidRPr="00B93EFE">
        <w:rPr>
          <w:b/>
          <w:bCs/>
        </w:rPr>
        <w:t>Primero: Naturaleza jurídica incorrecta del tributo</w:t>
      </w:r>
    </w:p>
    <w:p w:rsidR="00B93EFE" w:rsidRPr="00B93EFE" w:rsidRDefault="00B93EFE" w:rsidP="005A04F1">
      <w:pPr>
        <w:spacing w:line="240" w:lineRule="auto"/>
        <w:jc w:val="both"/>
      </w:pPr>
      <w:r w:rsidRPr="00B93EFE">
        <w:t>Según el artículo 6 de la Ley 8/1989, una tasa se define como un tributo vinculado a servicios de recepción obligatoria o exclusiva del sector público. Sin embargo, la Ordenanza Fiscal Reguladora de la Tasa por la Recogida de Residuos establece que los sujetos pasivos pueden optar por gestionar sus residuos mediante gestores privados autorizados (artículo 2.3). Esto demuestra que el servicio no es obligatorio ni exclusivo del Ayuntamiento, invalidando su calificación como tasa.</w:t>
      </w:r>
    </w:p>
    <w:p w:rsidR="00B93EFE" w:rsidRDefault="00B93EFE" w:rsidP="005A04F1">
      <w:pPr>
        <w:spacing w:line="240" w:lineRule="auto"/>
        <w:jc w:val="both"/>
      </w:pPr>
      <w:r w:rsidRPr="00B93EFE">
        <w:t xml:space="preserve">El Ayuntamiento describe en la Memoria Justificativa de Contratación que el servicio municipal solo es aplicable a quienes opten por él, lo que refuerza esta conclusión. Por tanto, el tributo debe considerarse una </w:t>
      </w:r>
      <w:r w:rsidRPr="00B93EFE">
        <w:rPr>
          <w:b/>
          <w:bCs/>
        </w:rPr>
        <w:t>prestación patrimonial pública no tributaria</w:t>
      </w:r>
      <w:r w:rsidRPr="00B93EFE">
        <w:t>, y tanto la liquidación como la ordenanza son nulas de pleno derecho conforme al artículo 47 de la Ley 39/2015.</w:t>
      </w:r>
    </w:p>
    <w:p w:rsidR="00CC0FB6" w:rsidRDefault="00B93EFE" w:rsidP="005A04F1">
      <w:pPr>
        <w:spacing w:line="240" w:lineRule="auto"/>
        <w:jc w:val="both"/>
        <w:rPr>
          <w:b/>
          <w:bCs/>
        </w:rPr>
      </w:pPr>
      <w:r w:rsidRPr="00B93EFE">
        <w:rPr>
          <w:b/>
          <w:bCs/>
        </w:rPr>
        <w:t>Segundo: Vulneración del principio de capacidad económica (cuota fija)</w:t>
      </w:r>
    </w:p>
    <w:p w:rsidR="00CC0FB6" w:rsidRDefault="0077213C" w:rsidP="005A04F1">
      <w:pPr>
        <w:spacing w:line="240" w:lineRule="auto"/>
        <w:jc w:val="both"/>
      </w:pPr>
      <w:r w:rsidRPr="0077213C">
        <w:rPr>
          <w:b/>
          <w:bCs/>
          <w:noProof/>
          <w:lang w:eastAsia="es-ES"/>
        </w:rPr>
        <w:pict>
          <v:shapetype id="_x0000_t202" coordsize="21600,21600" o:spt="202" path="m,l,21600r21600,l21600,xe">
            <v:stroke joinstyle="miter"/>
            <v:path gradientshapeok="t" o:connecttype="rect"/>
          </v:shapetype>
          <v:shape id="Cuadro de texto 2" o:spid="_x0000_s1026" type="#_x0000_t202" style="position:absolute;left:0;text-align:left;margin-left:-145pt;margin-top:38.6pt;width:338.65pt;height:23.25pt;rotation:-90;z-index:-251658752;visibility:visible;mso-wrap-distance-top:3.6pt;mso-wrap-distance-bottom:3.6pt;mso-position-horizontal-relative:left-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" stroked="f">
            <v:textbox>
              <w:txbxContent>
                <w:p w:rsidR="005175C6" w:rsidRDefault="005175C6"/>
              </w:txbxContent>
            </v:textbox>
            <w10:wrap anchorx="margin"/>
          </v:shape>
        </w:pict>
      </w:r>
      <w:r w:rsidR="00B93EFE" w:rsidRPr="00B93EFE">
        <w:t>La cuota fija se basa únicamente en los metros cuadrados del inmueble, sin considerar factores clave como la ubicación, calidad o momento de adquisición, lo que resulta en una estimación arbitraria de la capacidad económica.</w:t>
      </w:r>
    </w:p>
    <w:p w:rsidR="00B93EFE" w:rsidRDefault="00B93EFE" w:rsidP="005A04F1">
      <w:pPr>
        <w:spacing w:line="240" w:lineRule="auto"/>
        <w:jc w:val="both"/>
      </w:pPr>
      <w:r w:rsidRPr="00B93EFE">
        <w:t>Esta práctica contraviene el artículo 31.1 de la Constitución Española, que exige que los tributos se fundamenten en criterios proporcionales y justos. La falta de análisis adecuado convierte la ordenanza en nula de pleno derecho conforme al artículo 47 de la Ley 39/2015.</w:t>
      </w:r>
    </w:p>
    <w:p w:rsidR="00CC0FB6" w:rsidRDefault="00B93EFE" w:rsidP="005A04F1">
      <w:pPr>
        <w:spacing w:line="240" w:lineRule="auto"/>
        <w:jc w:val="both"/>
        <w:rPr>
          <w:b/>
          <w:bCs/>
        </w:rPr>
      </w:pPr>
      <w:r w:rsidRPr="00B93EFE">
        <w:rPr>
          <w:b/>
          <w:bCs/>
        </w:rPr>
        <w:t>Tercero: Injusticia y arbitrariedad en la cuota variable</w:t>
      </w:r>
    </w:p>
    <w:p w:rsidR="00B93EFE" w:rsidRDefault="00B93EFE" w:rsidP="005A04F1">
      <w:pPr>
        <w:spacing w:line="240" w:lineRule="auto"/>
        <w:jc w:val="both"/>
      </w:pPr>
      <w:r w:rsidRPr="00B93EFE">
        <w:t>La cuota variable se calcula utilizando el peso promedio de residuos de cada ruta de recogida, lo cual no refleja la generación real de cada inmueble. Este método contradice el principio de "pago por generación" de la Ley 7/2022 y genera desigualdades arbitrarias. Además, la jurisprudencia (por ejemplo, STS de 20 de julio de 2001, recurso 4985/1996) establece que los módulos de tributación deben basarse en criterios objetivos y razonables.</w:t>
      </w:r>
    </w:p>
    <w:p w:rsidR="00CC0FB6" w:rsidRDefault="00B93EFE" w:rsidP="005A04F1">
      <w:pPr>
        <w:spacing w:line="240" w:lineRule="auto"/>
        <w:jc w:val="both"/>
        <w:rPr>
          <w:b/>
          <w:bCs/>
        </w:rPr>
      </w:pPr>
      <w:r w:rsidRPr="00B93EFE">
        <w:rPr>
          <w:b/>
          <w:bCs/>
        </w:rPr>
        <w:t>Cuarto: Deficiencias en la liquidación recibida</w:t>
      </w:r>
    </w:p>
    <w:p w:rsidR="00B93EFE" w:rsidRDefault="00B93EFE" w:rsidP="005A04F1">
      <w:pPr>
        <w:spacing w:line="240" w:lineRule="auto"/>
        <w:jc w:val="both"/>
      </w:pPr>
      <w:r w:rsidRPr="00B93EFE">
        <w:t>La liquidación notificada no justifica adecuadamente la metodología aplicada ni explica por qué la cuota variable no se calcula conforme al número de personas empadronadas, como dispone la ordenanza. Este incumplimiento del artículo 101 de la Ley General Tributaria invalida la liquidación por falta de motivación.</w:t>
      </w:r>
    </w:p>
    <w:p w:rsidR="00B93EFE" w:rsidRPr="00B93EFE" w:rsidRDefault="00B93EFE" w:rsidP="005A04F1">
      <w:pPr>
        <w:spacing w:line="240" w:lineRule="auto"/>
        <w:jc w:val="both"/>
      </w:pPr>
      <w:r w:rsidRPr="00B93EFE">
        <w:rPr>
          <w:b/>
          <w:bCs/>
        </w:rPr>
        <w:t>Por todo lo expuesto, SOLICITA:</w:t>
      </w:r>
    </w:p>
    <w:p w:rsidR="00B93EFE" w:rsidRPr="00B93EFE" w:rsidRDefault="00B93EFE" w:rsidP="005A04F1">
      <w:pPr>
        <w:numPr>
          <w:ilvl w:val="0"/>
          <w:numId w:val="1"/>
        </w:numPr>
        <w:spacing w:line="240" w:lineRule="auto"/>
        <w:jc w:val="both"/>
      </w:pPr>
      <w:r w:rsidRPr="00B93EFE">
        <w:t>Declarar la nulidad de la Ordenanza Fiscal Reguladora de la Tasa por la Recogida y Tratamiento de Residuos del Ayuntamiento de Pozuelo de Alarcón por los motivos expuestos.</w:t>
      </w:r>
    </w:p>
    <w:p w:rsidR="00B93EFE" w:rsidRDefault="00B93EFE" w:rsidP="005A04F1">
      <w:pPr>
        <w:numPr>
          <w:ilvl w:val="0"/>
          <w:numId w:val="1"/>
        </w:numPr>
        <w:spacing w:line="240" w:lineRule="auto"/>
        <w:jc w:val="both"/>
      </w:pPr>
      <w:r w:rsidRPr="00B93EFE">
        <w:t>En su defecto, declarar la nulidad de la liquidación girada por los defectos señalados.</w:t>
      </w:r>
    </w:p>
    <w:p w:rsidR="00B93EFE" w:rsidRDefault="00B93EFE" w:rsidP="005A04F1">
      <w:pPr>
        <w:spacing w:line="240" w:lineRule="auto"/>
        <w:jc w:val="center"/>
      </w:pPr>
      <w:r w:rsidRPr="00B93EFE">
        <w:t xml:space="preserve">En Pozuelo de Alarcón, a </w:t>
      </w:r>
      <w:r w:rsidR="00DA160A">
        <w:t xml:space="preserve">   </w:t>
      </w:r>
      <w:r w:rsidRPr="00B93EFE">
        <w:t xml:space="preserve"> de </w:t>
      </w:r>
      <w:r w:rsidR="00DA160A">
        <w:t xml:space="preserve">                    </w:t>
      </w:r>
      <w:r w:rsidRPr="00B93EFE">
        <w:t xml:space="preserve"> de 202</w:t>
      </w:r>
    </w:p>
    <w:p w:rsidR="005A04F1" w:rsidRDefault="005A04F1" w:rsidP="005A04F1">
      <w:pPr>
        <w:spacing w:line="240" w:lineRule="auto"/>
        <w:jc w:val="center"/>
      </w:pPr>
    </w:p>
    <w:p w:rsidR="005A04F1" w:rsidRPr="00B93EFE" w:rsidRDefault="005A04F1" w:rsidP="005A04F1">
      <w:pPr>
        <w:spacing w:line="240" w:lineRule="auto"/>
        <w:jc w:val="center"/>
      </w:pPr>
    </w:p>
    <w:p w:rsidR="00AD02E1" w:rsidRDefault="00B93EFE" w:rsidP="005A04F1">
      <w:pPr>
        <w:spacing w:line="240" w:lineRule="auto"/>
        <w:ind w:left="708" w:firstLine="708"/>
      </w:pPr>
      <w:r w:rsidRPr="00B93EFE">
        <w:t xml:space="preserve">Fdo.: </w:t>
      </w:r>
      <w:r w:rsidR="00DA160A">
        <w:t xml:space="preserve"> </w:t>
      </w:r>
    </w:p>
    <w:p w:rsidR="005A1500" w:rsidRDefault="00FD493F" w:rsidP="005A04F1">
      <w:pPr>
        <w:spacing w:line="240" w:lineRule="auto"/>
        <w:ind w:left="708" w:firstLine="708"/>
      </w:pPr>
      <w:r>
        <w:rPr>
          <w:noProof/>
        </w:rPr>
        <w:pict>
          <v:rect id="_x0000_s1031" style="position:absolute;left:0;text-align:left;margin-left:0;margin-top:0;width:792.4pt;height:150pt;rotation:-90;flip:x;z-index:-251654144;mso-width-percent:300;mso-height-percent:1000;mso-position-horizontal:left;mso-position-horizontal-relative:page;mso-position-vertical:top;mso-position-vertical-relative:page;mso-width-percent:300;mso-height-percent:1000;v-text-anchor:middle" o:allowincell="f" fillcolor="white [3212]" strokecolor="white [3212]" strokeweight="1pt">
            <v:fill opacity="52429f"/>
            <v:shadow on="t" type="perspective" color="#156082 [3204]" opacity=".5" origin="-.5,-.5" offset="-41pt,-49pt" offset2="-70pt,-86pt" matrix=".75,,,.75"/>
            <v:textbox style="layout-flow:vertical;mso-layout-flow-alt:bottom-to-top;mso-next-textbox:#_x0000_s1031;mso-fit-shape-to-text:t" inset="1in,7.2pt,,7.2pt">
              <w:txbxContent>
                <w:p w:rsidR="00FD493F" w:rsidRPr="009939FE" w:rsidRDefault="009939FE">
                  <w:pPr>
                    <w:rPr>
                      <w:rFonts w:asciiTheme="majorHAnsi" w:eastAsiaTheme="majorEastAsia" w:hAnsiTheme="majorHAnsi" w:cstheme="majorBidi"/>
                      <w:bCs/>
                      <w:color w:val="BFBFBF" w:themeColor="background1" w:themeShade="BF"/>
                      <w:sz w:val="16"/>
                      <w:szCs w:val="16"/>
                    </w:rPr>
                  </w:pPr>
                  <w:r w:rsidRPr="009939FE">
                    <w:rPr>
                      <w:rFonts w:asciiTheme="majorHAnsi" w:eastAsiaTheme="majorEastAsia" w:hAnsiTheme="majorHAnsi" w:cstheme="majorBidi"/>
                      <w:b/>
                      <w:bCs/>
                      <w:sz w:val="18"/>
                      <w:szCs w:val="18"/>
                    </w:rPr>
                    <w:t xml:space="preserve">            </w:t>
                  </w:r>
                  <w:r w:rsidRPr="009939FE">
                    <w:rPr>
                      <w:rFonts w:asciiTheme="majorHAnsi" w:eastAsiaTheme="majorEastAsia" w:hAnsiTheme="majorHAnsi" w:cstheme="majorBidi"/>
                      <w:bCs/>
                      <w:sz w:val="18"/>
                      <w:szCs w:val="18"/>
                    </w:rPr>
                    <w:t xml:space="preserve">                                                                  </w:t>
                  </w:r>
                  <w:r>
                    <w:rPr>
                      <w:rFonts w:asciiTheme="majorHAnsi" w:eastAsiaTheme="majorEastAsia" w:hAnsiTheme="majorHAnsi" w:cstheme="majorBidi"/>
                      <w:bCs/>
                      <w:sz w:val="18"/>
                      <w:szCs w:val="18"/>
                    </w:rPr>
                    <w:t xml:space="preserve">                                            </w:t>
                  </w:r>
                  <w:r w:rsidR="00C844EA" w:rsidRPr="009939FE">
                    <w:rPr>
                      <w:rFonts w:asciiTheme="majorHAnsi" w:eastAsiaTheme="majorEastAsia" w:hAnsiTheme="majorHAnsi" w:cstheme="majorBidi"/>
                      <w:bCs/>
                      <w:color w:val="BFBFBF" w:themeColor="background1" w:themeShade="BF"/>
                      <w:sz w:val="16"/>
                      <w:szCs w:val="16"/>
                    </w:rPr>
                    <w:t>Texto</w:t>
                  </w:r>
                  <w:r w:rsidR="00004B77">
                    <w:rPr>
                      <w:rFonts w:asciiTheme="majorHAnsi" w:eastAsiaTheme="majorEastAsia" w:hAnsiTheme="majorHAnsi" w:cstheme="majorBidi"/>
                      <w:bCs/>
                      <w:color w:val="BFBFBF" w:themeColor="background1" w:themeShade="BF"/>
                      <w:sz w:val="16"/>
                      <w:szCs w:val="16"/>
                    </w:rPr>
                    <w:t xml:space="preserve"> </w:t>
                  </w:r>
                  <w:r w:rsidR="00C844EA" w:rsidRPr="009939FE">
                    <w:rPr>
                      <w:rFonts w:asciiTheme="majorHAnsi" w:eastAsiaTheme="majorEastAsia" w:hAnsiTheme="majorHAnsi" w:cstheme="majorBidi"/>
                      <w:bCs/>
                      <w:color w:val="BFBFBF" w:themeColor="background1" w:themeShade="BF"/>
                      <w:sz w:val="16"/>
                      <w:szCs w:val="16"/>
                    </w:rPr>
                    <w:t xml:space="preserve"> redactado </w:t>
                  </w:r>
                  <w:r w:rsidR="00004B77">
                    <w:rPr>
                      <w:rFonts w:asciiTheme="majorHAnsi" w:eastAsiaTheme="majorEastAsia" w:hAnsiTheme="majorHAnsi" w:cstheme="majorBidi"/>
                      <w:bCs/>
                      <w:color w:val="BFBFBF" w:themeColor="background1" w:themeShade="BF"/>
                      <w:sz w:val="16"/>
                      <w:szCs w:val="16"/>
                    </w:rPr>
                    <w:t xml:space="preserve"> </w:t>
                  </w:r>
                  <w:r w:rsidR="00C844EA" w:rsidRPr="009939FE">
                    <w:rPr>
                      <w:rFonts w:asciiTheme="majorHAnsi" w:eastAsiaTheme="majorEastAsia" w:hAnsiTheme="majorHAnsi" w:cstheme="majorBidi"/>
                      <w:bCs/>
                      <w:color w:val="BFBFBF" w:themeColor="background1" w:themeShade="BF"/>
                      <w:sz w:val="16"/>
                      <w:szCs w:val="16"/>
                    </w:rPr>
                    <w:t>por</w:t>
                  </w:r>
                  <w:r w:rsidR="00004B77">
                    <w:rPr>
                      <w:rFonts w:asciiTheme="majorHAnsi" w:eastAsiaTheme="majorEastAsia" w:hAnsiTheme="majorHAnsi" w:cstheme="majorBidi"/>
                      <w:bCs/>
                      <w:color w:val="BFBFBF" w:themeColor="background1" w:themeShade="BF"/>
                      <w:sz w:val="16"/>
                      <w:szCs w:val="16"/>
                    </w:rPr>
                    <w:t xml:space="preserve"> </w:t>
                  </w:r>
                  <w:r w:rsidR="00C844EA" w:rsidRPr="009939FE">
                    <w:rPr>
                      <w:rFonts w:asciiTheme="majorHAnsi" w:eastAsiaTheme="majorEastAsia" w:hAnsiTheme="majorHAnsi" w:cstheme="majorBidi"/>
                      <w:bCs/>
                      <w:color w:val="BFBFBF" w:themeColor="background1" w:themeShade="BF"/>
                      <w:sz w:val="16"/>
                      <w:szCs w:val="16"/>
                    </w:rPr>
                    <w:t xml:space="preserve"> la</w:t>
                  </w:r>
                  <w:r w:rsidR="00004B77">
                    <w:rPr>
                      <w:rFonts w:asciiTheme="majorHAnsi" w:eastAsiaTheme="majorEastAsia" w:hAnsiTheme="majorHAnsi" w:cstheme="majorBidi"/>
                      <w:bCs/>
                      <w:color w:val="BFBFBF" w:themeColor="background1" w:themeShade="BF"/>
                      <w:sz w:val="16"/>
                      <w:szCs w:val="16"/>
                    </w:rPr>
                    <w:t xml:space="preserve"> </w:t>
                  </w:r>
                  <w:r w:rsidR="00C844EA" w:rsidRPr="009939FE">
                    <w:rPr>
                      <w:rFonts w:asciiTheme="majorHAnsi" w:eastAsiaTheme="majorEastAsia" w:hAnsiTheme="majorHAnsi" w:cstheme="majorBidi"/>
                      <w:bCs/>
                      <w:color w:val="BFBFBF" w:themeColor="background1" w:themeShade="BF"/>
                      <w:sz w:val="16"/>
                      <w:szCs w:val="16"/>
                    </w:rPr>
                    <w:t xml:space="preserve"> Asociación </w:t>
                  </w:r>
                  <w:r w:rsidR="00004B77">
                    <w:rPr>
                      <w:rFonts w:asciiTheme="majorHAnsi" w:eastAsiaTheme="majorEastAsia" w:hAnsiTheme="majorHAnsi" w:cstheme="majorBidi"/>
                      <w:bCs/>
                      <w:color w:val="BFBFBF" w:themeColor="background1" w:themeShade="BF"/>
                      <w:sz w:val="16"/>
                      <w:szCs w:val="16"/>
                    </w:rPr>
                    <w:t xml:space="preserve"> </w:t>
                  </w:r>
                  <w:r w:rsidR="00C844EA" w:rsidRPr="009939FE">
                    <w:rPr>
                      <w:rFonts w:asciiTheme="majorHAnsi" w:eastAsiaTheme="majorEastAsia" w:hAnsiTheme="majorHAnsi" w:cstheme="majorBidi"/>
                      <w:bCs/>
                      <w:color w:val="BFBFBF" w:themeColor="background1" w:themeShade="BF"/>
                      <w:sz w:val="16"/>
                      <w:szCs w:val="16"/>
                    </w:rPr>
                    <w:t>Vecinos</w:t>
                  </w:r>
                  <w:r w:rsidR="00004B77">
                    <w:rPr>
                      <w:rFonts w:asciiTheme="majorHAnsi" w:eastAsiaTheme="majorEastAsia" w:hAnsiTheme="majorHAnsi" w:cstheme="majorBidi"/>
                      <w:bCs/>
                      <w:color w:val="BFBFBF" w:themeColor="background1" w:themeShade="BF"/>
                      <w:sz w:val="16"/>
                      <w:szCs w:val="16"/>
                    </w:rPr>
                    <w:t xml:space="preserve"> </w:t>
                  </w:r>
                  <w:r w:rsidR="00C844EA" w:rsidRPr="009939FE">
                    <w:rPr>
                      <w:rFonts w:asciiTheme="majorHAnsi" w:eastAsiaTheme="majorEastAsia" w:hAnsiTheme="majorHAnsi" w:cstheme="majorBidi"/>
                      <w:bCs/>
                      <w:color w:val="BFBFBF" w:themeColor="background1" w:themeShade="BF"/>
                      <w:sz w:val="16"/>
                      <w:szCs w:val="16"/>
                    </w:rPr>
                    <w:t xml:space="preserve"> por </w:t>
                  </w:r>
                  <w:r w:rsidR="00004B77">
                    <w:rPr>
                      <w:rFonts w:asciiTheme="majorHAnsi" w:eastAsiaTheme="majorEastAsia" w:hAnsiTheme="majorHAnsi" w:cstheme="majorBidi"/>
                      <w:bCs/>
                      <w:color w:val="BFBFBF" w:themeColor="background1" w:themeShade="BF"/>
                      <w:sz w:val="16"/>
                      <w:szCs w:val="16"/>
                    </w:rPr>
                    <w:t xml:space="preserve"> </w:t>
                  </w:r>
                  <w:r w:rsidR="00C844EA" w:rsidRPr="009939FE">
                    <w:rPr>
                      <w:rFonts w:asciiTheme="majorHAnsi" w:eastAsiaTheme="majorEastAsia" w:hAnsiTheme="majorHAnsi" w:cstheme="majorBidi"/>
                      <w:bCs/>
                      <w:color w:val="BFBFBF" w:themeColor="background1" w:themeShade="BF"/>
                      <w:sz w:val="16"/>
                      <w:szCs w:val="16"/>
                    </w:rPr>
                    <w:t>Pozuelo</w:t>
                  </w:r>
                </w:p>
              </w:txbxContent>
            </v:textbox>
            <w10:wrap type="square" anchorx="page" anchory="page"/>
          </v:rect>
        </w:pict>
      </w:r>
      <w:r>
        <w:rPr>
          <w:noProof/>
        </w:rPr>
        <w:pict>
          <v:rect id="_x0000_s1030" style="position:absolute;left:0;text-align:left;margin-left:0;margin-top:0;width:792.4pt;height:150pt;rotation:-90;z-index:-251656192;mso-width-percent:300;mso-height-percent:1000;mso-position-horizontal:left;mso-position-horizontal-relative:page;mso-position-vertical:top;mso-position-vertical-relative:page;mso-width-percent:300;mso-height-percent:1000;v-text-anchor:middle" o:allowincell="f" fillcolor="white [3212]" strokecolor="white [3212]" strokeweight="1pt">
            <v:fill opacity="52429f"/>
            <v:shadow on="t" type="perspective" color="#156082 [3204]" opacity=".5" origin="-.5,-.5" offset="-41pt,-49pt" offset2="-70pt,-86pt" matrix=".75,,,.75"/>
            <v:textbox style="layout-flow:vertical;mso-layout-flow-alt:bottom-to-top;mso-next-textbox:#_x0000_s1030;mso-fit-shape-to-text:t" inset="1in,7.2pt,,7.2pt">
              <w:txbxContent>
                <w:p w:rsidR="00FD493F" w:rsidRDefault="00FD493F">
                  <w:pPr>
                    <w:rPr>
                      <w:rFonts w:asciiTheme="majorHAnsi" w:eastAsiaTheme="majorEastAsia" w:hAnsiTheme="majorHAnsi" w:cstheme="majorBidi"/>
                      <w:b/>
                      <w:bCs/>
                      <w:sz w:val="36"/>
                      <w:szCs w:val="36"/>
                    </w:rPr>
                  </w:pPr>
                </w:p>
              </w:txbxContent>
            </v:textbox>
            <w10:wrap type="square" anchorx="page" anchory="page"/>
          </v:rect>
        </w:pict>
      </w:r>
    </w:p>
    <w:sectPr w:rsidR="005A1500" w:rsidSect="00134F8C">
      <w:headerReference w:type="even" r:id="rId7"/>
      <w:headerReference w:type="default" r:id="rId8"/>
      <w:footerReference w:type="even" r:id="rId9"/>
      <w:footerReference w:type="default" r:id="rId10"/>
      <w:headerReference w:type="first" r:id="rId11"/>
      <w:footerReference w:type="first" r:id="rId12"/>
      <w:pgSz w:w="11906" w:h="16838"/>
      <w:pgMar w:top="1134" w:right="720" w:bottom="72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CD1" w:rsidRDefault="00F35CD1" w:rsidP="005A04F1">
      <w:pPr>
        <w:spacing w:after="0" w:line="240" w:lineRule="auto"/>
      </w:pPr>
      <w:r>
        <w:separator/>
      </w:r>
    </w:p>
  </w:endnote>
  <w:endnote w:type="continuationSeparator" w:id="0">
    <w:p w:rsidR="00F35CD1" w:rsidRDefault="00F35CD1" w:rsidP="005A04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F1" w:rsidRDefault="005A04F1">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F1" w:rsidRDefault="005A04F1">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F1" w:rsidRDefault="005A04F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CD1" w:rsidRDefault="00F35CD1" w:rsidP="005A04F1">
      <w:pPr>
        <w:spacing w:after="0" w:line="240" w:lineRule="auto"/>
      </w:pPr>
      <w:r>
        <w:separator/>
      </w:r>
    </w:p>
  </w:footnote>
  <w:footnote w:type="continuationSeparator" w:id="0">
    <w:p w:rsidR="00F35CD1" w:rsidRDefault="00F35CD1" w:rsidP="005A04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F1" w:rsidRDefault="0077213C">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7941938" o:spid="_x0000_s2050" type="#_x0000_t136" style="position:absolute;margin-left:0;margin-top:0;width:590.55pt;height:118.1pt;rotation:315;z-index:-251655168;mso-position-horizontal:center;mso-position-horizontal-relative:margin;mso-position-vertical:center;mso-position-vertical-relative:margin" o:allowincell="f" fillcolor="#d8d8d8 [2732]" stroked="f">
          <v:fill opacity=".5"/>
          <v:textpath style="font-family:&quot;Calibri&quot;;font-size:1pt" string="Vecinos por Pozuelo"/>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F1" w:rsidRDefault="0077213C">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7941939" o:spid="_x0000_s2051" type="#_x0000_t136" style="position:absolute;margin-left:0;margin-top:0;width:590.55pt;height:118.1pt;rotation:315;z-index:-251653120;mso-position-horizontal:center;mso-position-horizontal-relative:margin;mso-position-vertical:center;mso-position-vertical-relative:margin" o:allowincell="f" fillcolor="#d8d8d8 [2732]" stroked="f">
          <v:fill opacity=".5"/>
          <v:textpath style="font-family:&quot;Calibri&quot;;font-size:1pt" string="Vecinos por Pozuelo"/>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F1" w:rsidRDefault="0077213C">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7941937" o:spid="_x0000_s2049" type="#_x0000_t136" style="position:absolute;margin-left:0;margin-top:0;width:590.55pt;height:118.1pt;rotation:315;z-index:-251657216;mso-position-horizontal:center;mso-position-horizontal-relative:margin;mso-position-vertical:center;mso-position-vertical-relative:margin" o:allowincell="f" fillcolor="#d8d8d8 [2732]" stroked="f">
          <v:fill opacity=".5"/>
          <v:textpath style="font-family:&quot;Calibri&quot;;font-size:1pt" string="Vecinos por Pozuelo"/>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27FDB"/>
    <w:multiLevelType w:val="multilevel"/>
    <w:tmpl w:val="75D61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B93EFE"/>
    <w:rsid w:val="00004B77"/>
    <w:rsid w:val="000D30A5"/>
    <w:rsid w:val="00134F8C"/>
    <w:rsid w:val="00190371"/>
    <w:rsid w:val="0019734A"/>
    <w:rsid w:val="003C31D1"/>
    <w:rsid w:val="004B0307"/>
    <w:rsid w:val="004D690C"/>
    <w:rsid w:val="004E4700"/>
    <w:rsid w:val="005175C6"/>
    <w:rsid w:val="00536F4E"/>
    <w:rsid w:val="005A04F1"/>
    <w:rsid w:val="005A1500"/>
    <w:rsid w:val="00644A84"/>
    <w:rsid w:val="0077213C"/>
    <w:rsid w:val="00853CC7"/>
    <w:rsid w:val="009939FE"/>
    <w:rsid w:val="009F5F0E"/>
    <w:rsid w:val="00A023D2"/>
    <w:rsid w:val="00A32CD9"/>
    <w:rsid w:val="00AD02E1"/>
    <w:rsid w:val="00B6440D"/>
    <w:rsid w:val="00B93EFE"/>
    <w:rsid w:val="00C844EA"/>
    <w:rsid w:val="00C85220"/>
    <w:rsid w:val="00CC0FB6"/>
    <w:rsid w:val="00D13D01"/>
    <w:rsid w:val="00DA160A"/>
    <w:rsid w:val="00DF0EE3"/>
    <w:rsid w:val="00F35CD1"/>
    <w:rsid w:val="00FD3930"/>
    <w:rsid w:val="00FD493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13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04F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A04F1"/>
  </w:style>
  <w:style w:type="paragraph" w:styleId="Piedepgina">
    <w:name w:val="footer"/>
    <w:basedOn w:val="Normal"/>
    <w:link w:val="PiedepginaCar"/>
    <w:uiPriority w:val="99"/>
    <w:unhideWhenUsed/>
    <w:rsid w:val="005A04F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04F1"/>
  </w:style>
  <w:style w:type="paragraph" w:styleId="Textodeglobo">
    <w:name w:val="Balloon Text"/>
    <w:basedOn w:val="Normal"/>
    <w:link w:val="TextodegloboCar"/>
    <w:uiPriority w:val="99"/>
    <w:semiHidden/>
    <w:unhideWhenUsed/>
    <w:rsid w:val="00A023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023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3256571">
      <w:bodyDiv w:val="1"/>
      <w:marLeft w:val="0"/>
      <w:marRight w:val="0"/>
      <w:marTop w:val="0"/>
      <w:marBottom w:val="0"/>
      <w:divBdr>
        <w:top w:val="none" w:sz="0" w:space="0" w:color="auto"/>
        <w:left w:val="none" w:sz="0" w:space="0" w:color="auto"/>
        <w:bottom w:val="none" w:sz="0" w:space="0" w:color="auto"/>
        <w:right w:val="none" w:sz="0" w:space="0" w:color="auto"/>
      </w:divBdr>
    </w:div>
    <w:div w:id="128261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2892</TotalTime>
  <Pages>1</Pages>
  <Words>451</Words>
  <Characters>2482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Antonio Rueda Perez</dc:creator>
  <cp:keywords/>
  <dc:description/>
  <cp:lastModifiedBy>Anacleto</cp:lastModifiedBy>
  <cp:revision>10</cp:revision>
  <cp:lastPrinted>2024-12-13T21:32:00Z</cp:lastPrinted>
  <dcterms:created xsi:type="dcterms:W3CDTF">2024-12-13T21:13:00Z</dcterms:created>
  <dcterms:modified xsi:type="dcterms:W3CDTF">2024-12-20T10:12:00Z</dcterms:modified>
</cp:coreProperties>
</file>